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C1" w:rsidRPr="00D9050A" w:rsidRDefault="000D3B96">
      <w:pPr>
        <w:tabs>
          <w:tab w:val="left" w:pos="2820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9050A">
        <w:rPr>
          <w:rFonts w:ascii="Arial" w:hAnsi="Arial" w:cs="Arial"/>
          <w:color w:val="000000" w:themeColor="text1"/>
          <w:sz w:val="20"/>
          <w:szCs w:val="20"/>
        </w:rPr>
        <w:t>Beschreibung</w:t>
      </w:r>
      <w:r w:rsidR="00E012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050A">
        <w:rPr>
          <w:rFonts w:ascii="Arial" w:hAnsi="Arial" w:cs="Arial"/>
          <w:color w:val="000000" w:themeColor="text1"/>
          <w:sz w:val="20"/>
          <w:szCs w:val="20"/>
        </w:rPr>
        <w:t>der</w:t>
      </w:r>
      <w:r w:rsidR="00E012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050A">
        <w:rPr>
          <w:rFonts w:ascii="Arial" w:hAnsi="Arial" w:cs="Arial"/>
          <w:color w:val="000000" w:themeColor="text1"/>
          <w:sz w:val="20"/>
          <w:szCs w:val="20"/>
        </w:rPr>
        <w:t>Lehrveranstaltung</w:t>
      </w:r>
    </w:p>
    <w:p w:rsidR="00827BC1" w:rsidRPr="00D9050A" w:rsidRDefault="00827BC1">
      <w:pPr>
        <w:tabs>
          <w:tab w:val="left" w:pos="2820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2262"/>
        <w:gridCol w:w="587"/>
        <w:gridCol w:w="353"/>
        <w:gridCol w:w="982"/>
        <w:gridCol w:w="839"/>
        <w:gridCol w:w="132"/>
        <w:gridCol w:w="1481"/>
        <w:gridCol w:w="831"/>
        <w:gridCol w:w="850"/>
        <w:gridCol w:w="122"/>
        <w:gridCol w:w="269"/>
        <w:gridCol w:w="1534"/>
        <w:gridCol w:w="301"/>
        <w:gridCol w:w="703"/>
        <w:gridCol w:w="694"/>
      </w:tblGrid>
      <w:tr w:rsidR="00596BC6" w:rsidRPr="00D9050A" w:rsidTr="00596BC6">
        <w:tc>
          <w:tcPr>
            <w:tcW w:w="151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ALLGEMEINE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INFORMATIONEN</w:t>
            </w:r>
          </w:p>
        </w:tc>
      </w:tr>
      <w:tr w:rsidR="0069141C" w:rsidRPr="00D9050A" w:rsidTr="009E2723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1.1.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54B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Hochschullehrer</w:t>
            </w:r>
          </w:p>
        </w:tc>
        <w:tc>
          <w:tcPr>
            <w:tcW w:w="5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C016B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Dr.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Zygfryd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Eckardt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Gehrmann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1.6.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Studienjahr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0A" w:rsidRPr="00D9050A" w:rsidRDefault="00D9050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1–3</w:t>
            </w:r>
          </w:p>
        </w:tc>
      </w:tr>
      <w:tr w:rsidR="0069141C" w:rsidRPr="00D9050A" w:rsidTr="009E2723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1.2.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</w:p>
        </w:tc>
        <w:tc>
          <w:tcPr>
            <w:tcW w:w="5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15" w:rsidRPr="009E2723" w:rsidRDefault="00D9050A" w:rsidP="009E2723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Wahrnehmung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Anderen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1.7.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ECTS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Punkte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9141C" w:rsidRPr="00D9050A" w:rsidTr="009E2723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CF654B" w:rsidRPr="00D9050A" w:rsidRDefault="00D60C2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1.3.</w:t>
            </w:r>
            <w:r w:rsidR="00A85D19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Wissenschaftliche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54B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Mitarbeiter</w:t>
            </w:r>
          </w:p>
        </w:tc>
        <w:tc>
          <w:tcPr>
            <w:tcW w:w="5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 w:rsidP="00D60C26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1.8.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Art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4743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4743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(Anzahl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Stunden</w:t>
            </w:r>
            <w:r w:rsidR="00E0120E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F654B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54B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Ü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E-Learning)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41C" w:rsidRPr="00D9050A" w:rsidTr="009E2723">
        <w:trPr>
          <w:trHeight w:val="479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1.4.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Studienprogramm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(Bachelor,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Diplom,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integriert)</w:t>
            </w:r>
          </w:p>
        </w:tc>
        <w:tc>
          <w:tcPr>
            <w:tcW w:w="5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1.9.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Voraussichtliche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Anzahl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Studierenden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69141C" w:rsidRPr="00D9050A" w:rsidTr="009E2723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1.5.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Kurses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596BC6" w:rsidP="00D9050A">
            <w:pPr>
              <w:tabs>
                <w:tab w:val="left" w:pos="2820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_Fieldmark__50_2781138193"/>
            <w:bookmarkEnd w:id="0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9050A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Pflichtfach</w:t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 w:rsidP="00D9050A">
            <w:pPr>
              <w:tabs>
                <w:tab w:val="left" w:pos="2820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Wahlfach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459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1.10.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E-Learning-Anwendungsstufe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(Stufe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Stufe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Stufe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3),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Prozentsatz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Online-</w:t>
            </w:r>
            <w:r w:rsidR="00D24743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(maximal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20%)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9E2723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Stufe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96BC6" w:rsidRPr="00D9050A" w:rsidTr="00596BC6">
        <w:tc>
          <w:tcPr>
            <w:tcW w:w="151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Beschreibung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Lehrveranstaltung</w:t>
            </w:r>
          </w:p>
        </w:tc>
      </w:tr>
      <w:tr w:rsidR="0069141C" w:rsidRPr="00D9050A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2.1.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Ziele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50A" w:rsidRPr="001D31A1" w:rsidRDefault="00D9050A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Anderen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ist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eine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Einführung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Grundlagen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Wahrnehmung.</w:t>
            </w:r>
          </w:p>
          <w:p w:rsidR="00214FDC" w:rsidRPr="001D31A1" w:rsidRDefault="00214FDC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Einführung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Terminologie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grundlegende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Fragestellungen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</w:t>
            </w:r>
          </w:p>
          <w:p w:rsidR="00D9050A" w:rsidRPr="001D31A1" w:rsidRDefault="00214FDC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Kennenlernen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unterschiedlicher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Konzeptionen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Wahrnehmungsprozesse</w:t>
            </w:r>
          </w:p>
          <w:p w:rsidR="00214FDC" w:rsidRPr="001D31A1" w:rsidRDefault="00214FDC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Bewusstmachung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Abhängigkeit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von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eigenkulturellen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Werten,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Normen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Normalitätsvorstellungen</w:t>
            </w:r>
          </w:p>
          <w:p w:rsidR="00D9050A" w:rsidRPr="001D31A1" w:rsidRDefault="00214FDC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Erwerb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Kompetenzen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Bewältigung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Konfliktsituationen</w:t>
            </w:r>
          </w:p>
          <w:p w:rsidR="00596BC6" w:rsidRPr="001D31A1" w:rsidRDefault="00214FDC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Wissen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über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kulturhistorische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Rolle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europäischen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Kulturgeschichte</w:t>
            </w:r>
          </w:p>
        </w:tc>
      </w:tr>
      <w:tr w:rsidR="0069141C" w:rsidRPr="00D9050A" w:rsidTr="00D9050A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2.2.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Einschreibungs-voraussetzungen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erforderliche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Einstiegskomp</w:t>
            </w:r>
            <w:r w:rsidR="00D765C1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etenzen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65C1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für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65C1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65C1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1D31A1" w:rsidRDefault="00D9050A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Kenntnisse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deutschen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Sprache: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Lesenivea</w:t>
            </w:r>
            <w:bookmarkStart w:id="1" w:name="_GoBack"/>
            <w:bookmarkEnd w:id="1"/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B2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Sprechniveau: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B1.</w:t>
            </w:r>
          </w:p>
        </w:tc>
      </w:tr>
      <w:tr w:rsidR="0069141C" w:rsidRPr="001D31A1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2.3.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Lernergebni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sse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auf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Programmebene,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0C26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welchen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Kurs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beiträgt</w:t>
            </w: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A1" w:rsidRPr="001D31A1" w:rsidRDefault="001D31A1" w:rsidP="001D31A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A1">
              <w:rPr>
                <w:rFonts w:ascii="Arial" w:hAnsi="Arial" w:cs="Arial"/>
                <w:sz w:val="20"/>
                <w:szCs w:val="20"/>
              </w:rPr>
              <w:t>Fähigkeit interdisziplinär denken zu können unter Einbeziehung unterschiedlicher wissenschaftlicher Methoden und Sichtweisen in Bezug auf bestimmte Frag</w:t>
            </w:r>
            <w:r w:rsidRPr="001D31A1">
              <w:rPr>
                <w:rFonts w:ascii="Arial" w:hAnsi="Arial" w:cs="Arial"/>
                <w:sz w:val="20"/>
                <w:szCs w:val="20"/>
              </w:rPr>
              <w:t>estellungen und Problembereiche.</w:t>
            </w:r>
          </w:p>
          <w:p w:rsidR="001D31A1" w:rsidRPr="001D31A1" w:rsidRDefault="001D31A1" w:rsidP="001D31A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A1">
              <w:rPr>
                <w:rFonts w:ascii="Arial" w:hAnsi="Arial" w:cs="Arial"/>
                <w:sz w:val="20"/>
                <w:szCs w:val="20"/>
              </w:rPr>
              <w:t>Fähigkeit sich der Fachterminologe in unterschiedlichen Bereichen der Kommunikationswissenschaften bedienen zu können</w:t>
            </w:r>
            <w:r w:rsidRPr="001D31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6BC6" w:rsidRPr="001D31A1" w:rsidRDefault="001D31A1" w:rsidP="001D31A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A1">
              <w:rPr>
                <w:rFonts w:ascii="Arial" w:hAnsi="Arial" w:cs="Arial"/>
                <w:sz w:val="20"/>
                <w:szCs w:val="20"/>
              </w:rPr>
              <w:t>Das erworbene theoretische und praxisbezogene Wissen im Bereich der Medien bzw. des Journalismus fachlich und beruflich anwenden können, insbesondere in Bezug auf Öffentlichkeitsarbeit und den Bereich der Kommunikationswissenschaften</w:t>
            </w:r>
            <w:r w:rsidRPr="001D31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141C" w:rsidRPr="00D9050A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1D31A1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2.4.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Erwartete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Lernergebnisse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auf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65C1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Ebene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(3-10)</w:t>
            </w: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D5" w:rsidRPr="001D31A1" w:rsidRDefault="00627ED5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Fähigkeit,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mit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unterschiedlichen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kulturellen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Normalitätsvorstellungen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umgehen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können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27ED5" w:rsidRPr="001D31A1" w:rsidRDefault="00627ED5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Fähigkeit,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konstruktiven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eigenkulturelle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Prägungen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Beziehung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zwischen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Eigenem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erkennen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diese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zurückstellen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können</w:t>
            </w:r>
          </w:p>
          <w:p w:rsidR="00627ED5" w:rsidRPr="001D31A1" w:rsidRDefault="00627ED5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Sensibilisierung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für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essentialistische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Zuschreibungen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Zugehörigkeiten</w:t>
            </w:r>
          </w:p>
          <w:p w:rsidR="00627ED5" w:rsidRPr="001D31A1" w:rsidRDefault="00627ED5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Befähigung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zum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Perspektivwechsel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als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zentrales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Instrument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Verstehens</w:t>
            </w:r>
          </w:p>
          <w:p w:rsidR="00596BC6" w:rsidRPr="001D31A1" w:rsidRDefault="00627ED5" w:rsidP="001D31A1">
            <w:pPr>
              <w:tabs>
                <w:tab w:val="left" w:pos="2820"/>
              </w:tabs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Befähigung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Studierenden,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mit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diesem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Instrument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ihrem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Alltagshandeln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bei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Analyse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Begegnungs-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Kommunikationssituationen</w:t>
            </w:r>
            <w:r w:rsidR="00E0120E"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1A1">
              <w:rPr>
                <w:rFonts w:ascii="Arial" w:hAnsi="Arial" w:cs="Arial"/>
                <w:color w:val="000000" w:themeColor="text1"/>
                <w:sz w:val="20"/>
                <w:szCs w:val="20"/>
              </w:rPr>
              <w:t>umzugehen</w:t>
            </w:r>
          </w:p>
        </w:tc>
      </w:tr>
      <w:tr w:rsidR="0069141C" w:rsidRPr="00D9050A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2.5.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Beschreibung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65C1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Inhalte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  <w:r w:rsidR="00E0120E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D5" w:rsidRPr="00D9050A" w:rsidRDefault="00627ED5" w:rsidP="001D31A1">
            <w:pPr>
              <w:tabs>
                <w:tab w:val="left" w:pos="2820"/>
              </w:tabs>
              <w:spacing w:before="8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Thema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sind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Kommunikations-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Wahrnehmungsprozesse.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Anhand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theoretischen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Texten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Analyse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Begegnungen,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Darstellung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literarischen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Texten,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Filmbeispielen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Alltagsituationen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vorkommen,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soll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untersucht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werden,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auf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welchen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grundlegenden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Mechanismen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beruht,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diese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Mechanismen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Erfahrung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Bewertung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beeinflussen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welcher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Beziehung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eigenkulturellen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Denk-,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Handlungs-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Bewertungsmustern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Interessen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Wahrnehmenden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stehen.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27ED5" w:rsidRPr="00D9050A" w:rsidRDefault="00627ED5" w:rsidP="00627E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627ED5" w:rsidP="00627E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Erkenntnisleitend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für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ist,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dass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Fremdheit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Fremdheitserfahrung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keine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statischen,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sondern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prozessuale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Größen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sind,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wesentlich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durch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gesellschaftliche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Erfahrungen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Zielvorstellungen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mitstrukturiert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werden.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Verändern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sich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diese,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ändert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sich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Bild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Sofern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diese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These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richtig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ist,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entsteht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Problem,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ob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nicht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Projektion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ist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bzw.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ob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wir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überhaupt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ohne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Rekurs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auf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erkennen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denken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können.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Insbesondere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europäischen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Kulturgeschichte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spielt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diesem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Kontext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Figur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wichtige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zivilisations-kritische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Rolle.</w:t>
            </w:r>
          </w:p>
          <w:p w:rsidR="00A605AD" w:rsidRPr="00D9050A" w:rsidRDefault="00A605AD" w:rsidP="00627E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Einführung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Grundfragen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interkultureller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Kommunikation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und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Kompetenz</w:t>
            </w:r>
          </w:p>
          <w:p w:rsidR="00A605AD" w:rsidRPr="00D9050A" w:rsidRDefault="00A605AD" w:rsidP="00A605A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Wahrnehmungsmechanismen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Fremden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A605AD" w:rsidRPr="00D9050A" w:rsidRDefault="00A605AD" w:rsidP="00A605A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Wahrnehmungsmechanismen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Fremden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:rsidR="00A605AD" w:rsidRPr="00D9050A" w:rsidRDefault="00A605AD" w:rsidP="00A605A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Kulturzentrismus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und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das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Problem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vorschnellen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Erkenntnis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Analyse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interkulturelle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Begegnungssituationen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in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der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Literatur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Böll,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Heinrich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Anekdote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zur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Senkung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Arbeitsmoral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Scheurmann,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Eric: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Papalagi.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Die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Reden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Südseehäuptlings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Tuivaii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aus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Tiavea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Was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ist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interkulturelle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Kompetenz?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Modelle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interkultureller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Kompetenzentwicklungen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Bausteine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und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Verlaufsformen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interkulturellen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Lernens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Analyse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interkulturelle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Begegnungssituationen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in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der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Literatur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lastRenderedPageBreak/>
              <w:t>Ören,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Aras: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Die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Fremde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ist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auch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ein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Haus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Kommunikationspsychologische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Modelle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interkultureller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Kommunikation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D9050A" w:rsidRDefault="00A605AD" w:rsidP="00A605A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Anwendungsbeispiele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zur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Bewältigung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interkultureller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Konflikte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Analyse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interkulturelle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Begegnungssituationen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im</w:t>
            </w:r>
            <w:r w:rsidR="00E01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b/>
                <w:sz w:val="20"/>
                <w:szCs w:val="20"/>
              </w:rPr>
              <w:t>Film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Fatih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Akim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„Gegen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die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Wand“</w:t>
            </w:r>
          </w:p>
          <w:p w:rsidR="00A605AD" w:rsidRPr="00D9050A" w:rsidRDefault="00A605AD" w:rsidP="00A60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05AD" w:rsidRPr="009E2723" w:rsidRDefault="00A605AD" w:rsidP="009E272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050A">
              <w:rPr>
                <w:rFonts w:ascii="Arial" w:eastAsia="Calibri" w:hAnsi="Arial" w:cs="Arial"/>
                <w:sz w:val="20"/>
                <w:szCs w:val="20"/>
              </w:rPr>
              <w:t>Neele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Vollmar: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„Maria,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ihm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schmeckt‘s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nicht“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nach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dem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gleichnamigen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Roman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von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Jan</w:t>
            </w:r>
            <w:r w:rsidR="00E012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50A">
              <w:rPr>
                <w:rFonts w:ascii="Arial" w:eastAsia="Calibri" w:hAnsi="Arial" w:cs="Arial"/>
                <w:sz w:val="20"/>
                <w:szCs w:val="20"/>
              </w:rPr>
              <w:t>Weiler</w:t>
            </w:r>
          </w:p>
          <w:p w:rsidR="00A605AD" w:rsidRPr="00D9050A" w:rsidRDefault="00A605AD" w:rsidP="00627E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41C" w:rsidRPr="00D9050A" w:rsidTr="00596BC6">
        <w:trPr>
          <w:trHeight w:val="349"/>
        </w:trPr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2.6.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Lehrformen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596BC6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Vorlesungen</w:t>
            </w:r>
          </w:p>
          <w:p w:rsidR="00596BC6" w:rsidRPr="00D9050A" w:rsidRDefault="00596BC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_Fieldmark__137_2781138193"/>
            <w:bookmarkEnd w:id="2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Seminare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Workshops</w:t>
            </w:r>
          </w:p>
          <w:p w:rsidR="00596BC6" w:rsidRPr="00D9050A" w:rsidRDefault="00596BC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_Fieldmark__141_2781138193"/>
            <w:bookmarkEnd w:id="3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Übungen</w:t>
            </w:r>
          </w:p>
          <w:p w:rsidR="00596BC6" w:rsidRPr="00D9050A" w:rsidRDefault="00596BC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_Fieldmark__145_2781138193"/>
            <w:bookmarkEnd w:id="4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Vollständig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online</w:t>
            </w:r>
          </w:p>
          <w:p w:rsidR="00596BC6" w:rsidRPr="00D9050A" w:rsidRDefault="00596BC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5" w:name="__Fieldmark__149_2781138193"/>
            <w:bookmarkEnd w:id="5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Partielles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E-Learning</w:t>
            </w:r>
          </w:p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85D19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Feldarbeit</w:t>
            </w:r>
            <w:r w:rsidR="00BE17D8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/Feldforschung</w:t>
            </w:r>
          </w:p>
        </w:tc>
        <w:tc>
          <w:tcPr>
            <w:tcW w:w="34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D9050A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596BC6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Eigenständige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596BC6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Aufgaben</w:t>
            </w:r>
          </w:p>
          <w:p w:rsidR="00596BC6" w:rsidRPr="00D9050A" w:rsidRDefault="00596BC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6" w:name="__Fieldmark__161_2781138193"/>
            <w:bookmarkEnd w:id="6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Multimedia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Internet</w:t>
            </w:r>
          </w:p>
          <w:p w:rsidR="00596BC6" w:rsidRPr="00D9050A" w:rsidRDefault="00596BC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_Fieldmark__165_2781138193"/>
            <w:bookmarkEnd w:id="7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Labor</w:t>
            </w:r>
          </w:p>
          <w:p w:rsidR="00596BC6" w:rsidRPr="00D9050A" w:rsidRDefault="00596BC6" w:rsidP="005C298B">
            <w:pPr>
              <w:pStyle w:val="FieldText"/>
              <w:ind w:left="368" w:hanging="368"/>
              <w:rPr>
                <w:rFonts w:ascii="Arial" w:hAnsi="Arial" w:cs="Arial"/>
                <w:strike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8" w:name="__Fieldmark__169_2781138193"/>
            <w:bookmarkEnd w:id="8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Studium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unter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Anleitung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von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6E26DC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Mentoren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596BC6" w:rsidRPr="00D9050A" w:rsidRDefault="00596BC6" w:rsidP="00D60C2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50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D31A1">
              <w:rPr>
                <w:rFonts w:ascii="Arial" w:hAnsi="Arial" w:cs="Arial"/>
                <w:sz w:val="20"/>
                <w:szCs w:val="20"/>
              </w:rPr>
            </w:r>
            <w:r w:rsidR="001D3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_Fieldmark__173_2781138193"/>
            <w:bookmarkEnd w:id="9"/>
            <w:r w:rsidRPr="00D905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26E1D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(sonstige)</w:t>
            </w:r>
          </w:p>
        </w:tc>
        <w:tc>
          <w:tcPr>
            <w:tcW w:w="3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2.7.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Bemerkungen:</w:t>
            </w:r>
          </w:p>
        </w:tc>
      </w:tr>
      <w:tr w:rsidR="0069141C" w:rsidRPr="00D9050A" w:rsidTr="00596BC6">
        <w:trPr>
          <w:trHeight w:val="577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596BC6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596BC6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41C" w:rsidRPr="00D9050A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2.8.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Verpflichtungen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Studierenden</w:t>
            </w:r>
          </w:p>
          <w:p w:rsidR="00596BC6" w:rsidRPr="00D9050A" w:rsidRDefault="00596BC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C6" w:rsidRPr="00D9050A" w:rsidRDefault="00627E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regelmäßige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Teilnahme,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Präsentation/Referat</w:t>
            </w:r>
          </w:p>
        </w:tc>
      </w:tr>
      <w:tr w:rsidR="00F1299C" w:rsidRPr="00D9050A" w:rsidTr="00596BC6">
        <w:trPr>
          <w:trHeight w:val="230"/>
        </w:trPr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4501E4" w:rsidRPr="00D9050A" w:rsidRDefault="000D3B96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2.9.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Begleitung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69141C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Lernfortschritte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Studierenden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01E4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(Evaluationsformen</w:t>
            </w:r>
            <w:r w:rsidR="001C2E8D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D60C2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Teilnahme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BE17D8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BE17D8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BE17D8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Lehre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677DD5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sz w:val="20"/>
                <w:szCs w:val="20"/>
              </w:rPr>
              <w:t>JA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69141C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Forschun</w:t>
            </w:r>
            <w:r w:rsidR="00C26E1D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gs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arbeit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Mündliche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Prüfung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 w:rsidP="00596BC6">
            <w:pPr>
              <w:pStyle w:val="FieldText"/>
              <w:ind w:righ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</w:tr>
      <w:tr w:rsidR="00F1299C" w:rsidRPr="00D9050A" w:rsidTr="00596BC6">
        <w:trPr>
          <w:trHeight w:val="230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27BC1" w:rsidRPr="00D9050A" w:rsidRDefault="00827BC1">
            <w:pPr>
              <w:numPr>
                <w:ilvl w:val="0"/>
                <w:numId w:val="2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Experimentelle</w:t>
            </w:r>
            <w:r w:rsidR="00E0120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Arbeit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1C2E8D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Referat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C26E1D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(sonstige)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 w:rsidP="00596BC6">
            <w:pPr>
              <w:pStyle w:val="FieldText"/>
              <w:ind w:righ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E0120E" w:rsidRDefault="00E0120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120E">
              <w:rPr>
                <w:rFonts w:ascii="Arial" w:hAnsi="Arial" w:cs="Arial"/>
                <w:b w:val="0"/>
                <w:sz w:val="20"/>
                <w:szCs w:val="20"/>
              </w:rPr>
              <w:t>NEIN</w:t>
            </w:r>
          </w:p>
        </w:tc>
      </w:tr>
      <w:tr w:rsidR="00F1299C" w:rsidRPr="00D9050A" w:rsidTr="00596BC6">
        <w:trPr>
          <w:trHeight w:val="230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27BC1" w:rsidRPr="00D9050A" w:rsidRDefault="00827BC1">
            <w:pPr>
              <w:numPr>
                <w:ilvl w:val="0"/>
                <w:numId w:val="2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Essay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1C2E8D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Seminar</w:t>
            </w:r>
            <w:r w:rsidR="00C26E1D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ar</w:t>
            </w: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beit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C26E1D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(sonstige)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 w:rsidP="00596BC6">
            <w:pPr>
              <w:pStyle w:val="FieldText"/>
              <w:ind w:righ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</w:tr>
      <w:tr w:rsidR="00F1299C" w:rsidRPr="00D9050A" w:rsidTr="00596BC6">
        <w:trPr>
          <w:trHeight w:hRule="exact" w:val="284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27BC1" w:rsidRPr="00D9050A" w:rsidRDefault="00827BC1">
            <w:pPr>
              <w:numPr>
                <w:ilvl w:val="0"/>
                <w:numId w:val="2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69141C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Kolloquium/Teil</w:t>
            </w:r>
            <w:r w:rsidR="00BE17D8"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prüfung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 w:rsidP="00835C7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Praktikum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C26E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(sonstige)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 w:rsidP="00596BC6">
            <w:pPr>
              <w:tabs>
                <w:tab w:val="left" w:pos="2820"/>
              </w:tabs>
              <w:spacing w:after="0" w:line="240" w:lineRule="auto"/>
              <w:ind w:righ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NEIN</w:t>
            </w:r>
          </w:p>
        </w:tc>
      </w:tr>
      <w:tr w:rsidR="00F1299C" w:rsidRPr="00D9050A" w:rsidTr="00596BC6">
        <w:trPr>
          <w:trHeight w:val="284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27BC1" w:rsidRPr="00D9050A" w:rsidRDefault="00827BC1">
            <w:pPr>
              <w:numPr>
                <w:ilvl w:val="0"/>
                <w:numId w:val="2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pStyle w:val="FieldText"/>
              <w:tabs>
                <w:tab w:val="left" w:pos="28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Schriftliche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Prüfung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 w:rsidP="00835C7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="00D9050A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827BC1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0D3B9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ECTS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D7CBF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unkte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(gesamt)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C1" w:rsidRPr="00D9050A" w:rsidRDefault="00D9050A" w:rsidP="00596BC6">
            <w:pPr>
              <w:tabs>
                <w:tab w:val="left" w:pos="2820"/>
              </w:tabs>
              <w:spacing w:after="0" w:line="240" w:lineRule="auto"/>
              <w:ind w:right="1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9141C" w:rsidRPr="00D9050A" w:rsidTr="00596BC6"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466E0E" w:rsidRPr="00D9050A" w:rsidRDefault="00466E0E">
            <w:pPr>
              <w:tabs>
                <w:tab w:val="left" w:pos="306"/>
                <w:tab w:val="left" w:pos="54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  <w:tab w:val="left" w:pos="540"/>
              </w:tabs>
              <w:spacing w:after="0" w:line="240" w:lineRule="auto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2.10.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Pflichtliteratur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466E0E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verfügbar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Bibliothek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über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alternative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Medien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Verfügbarkeit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Bibliothek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Verfügbarkeit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über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alternative</w:t>
            </w:r>
            <w:r w:rsidR="00E012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Medien</w:t>
            </w:r>
          </w:p>
        </w:tc>
      </w:tr>
      <w:tr w:rsidR="0069141C" w:rsidRPr="00D9050A" w:rsidTr="00596BC6">
        <w:trPr>
          <w:trHeight w:val="7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835C7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Reader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mit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Pflichtliteratur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mit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Links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wird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Lehrveranstaltung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Verfügung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gestellt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41C" w:rsidRPr="00D9050A" w:rsidTr="00596BC6">
        <w:trPr>
          <w:trHeight w:val="7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Grosch,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H./Leenen,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(2000).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Bausteine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Grundlegung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Lernens.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Lernen.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Arbeitshilfen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für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politische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Bildung.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Bonn,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29-46</w:t>
            </w: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Bolten,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J.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(2007).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Kompetenz.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Erfurt: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Landeszentrale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für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politische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Bildung</w:t>
            </w:r>
          </w:p>
          <w:p w:rsidR="002A0782" w:rsidRPr="00D9050A" w:rsidRDefault="002A0782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A0782" w:rsidRPr="00D9050A" w:rsidRDefault="002A0782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Erll,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A./Gymrich,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(2007).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Kompetenzen.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Stuttgart: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Klett</w:t>
            </w:r>
          </w:p>
          <w:p w:rsidR="002A0782" w:rsidRPr="00D9050A" w:rsidRDefault="002A0782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14AAB" w:rsidRPr="00D9050A" w:rsidRDefault="00A14AAB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Schulz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Thun,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F./Kumbier,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(2008):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Methoden,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Modelle,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Beispiele: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Hamburg: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Rowohlt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677DD5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41C" w:rsidRPr="00D9050A" w:rsidTr="00596BC6">
        <w:trPr>
          <w:trHeight w:val="7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73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Wagner,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Wolf(1997):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wahrnehmen,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5-25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https://www.lzt-thueringen.de/files/remdekulturen.pdf</w:t>
            </w: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Rathje,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Stefanie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(2006),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Kompetenz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Zustand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Zukunft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umstrittenen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Konzepts.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Zeitschrift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für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Fremdsprachenunterricht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11/3,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Seiten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http://tujournals.ulb.tu-darmstadt.de/index.php/zif/article/view/396/384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677DD5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69141C" w:rsidRPr="00D9050A" w:rsidTr="00596BC6">
        <w:trPr>
          <w:trHeight w:val="7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Böll,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Heinrich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(1962):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Anekdote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Senkung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Arbeitsmoral,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Seiten</w:t>
            </w: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https://entspannungsreisen.de/wp-content/uploads/2009/10/Boell_Anekdote.pdf</w:t>
            </w: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Scheurmann,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Erich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(1922):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Vom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runden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schweren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ders.: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Papalagi.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Reden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Südseehäuptlings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Tuivaii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Tiavea,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Seiten</w:t>
            </w:r>
          </w:p>
          <w:p w:rsidR="00596BC6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https://www.fadedpage.com/showbook.php?pid=20130505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677DD5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69141C" w:rsidRPr="00D9050A" w:rsidTr="00596BC6">
        <w:trPr>
          <w:trHeight w:val="7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Ören,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Aras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(1980):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ist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Haus.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ders.: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ist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auch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Haus.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Berlin: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Rotbuch,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Seite</w:t>
            </w:r>
          </w:p>
          <w:p w:rsidR="002A0782" w:rsidRPr="00D9050A" w:rsidRDefault="002A0782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A0782" w:rsidRPr="00D9050A" w:rsidRDefault="002A0782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Film</w:t>
            </w:r>
          </w:p>
          <w:p w:rsidR="00677DD5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Fatih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Akim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„Gegen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Wand“</w:t>
            </w:r>
          </w:p>
          <w:p w:rsidR="00596BC6" w:rsidRPr="00D9050A" w:rsidRDefault="00677DD5" w:rsidP="00677DD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Neele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Vollmar: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„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ihm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schmeckt‘s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nicht“</w:t>
            </w:r>
            <w:r w:rsidR="00E01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nach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dem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gleichnamigen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Roman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von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Jan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782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Weiler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2A0782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69141C" w:rsidRPr="00D9050A" w:rsidTr="00596BC6">
        <w:trPr>
          <w:trHeight w:val="7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41C" w:rsidRPr="00D9050A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2.11.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Weiterführende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Literatur</w:t>
            </w:r>
          </w:p>
          <w:p w:rsidR="00596BC6" w:rsidRPr="00D9050A" w:rsidRDefault="00596BC6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Gogolin,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I./Krüger-Potratz,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(2010).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Einführung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Pädagogik.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Opladen: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Babara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Budrich</w:t>
            </w: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Haas,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(2009):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Das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Paradigma.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Passau: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Verlag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Karl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Stutz</w:t>
            </w: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Heringer,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J.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(2007).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Tübingen: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Francke</w:t>
            </w: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Knapp-P./Liedke,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(1997).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Aspekte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München: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Iudicium</w:t>
            </w: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14AAB" w:rsidRPr="00D9050A" w:rsidRDefault="00A14AAB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Lüsebrink,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H.-J.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(2008):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Interaktion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Fremdwahrnehmung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Kulturtransfer.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Weimar: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Metzler</w:t>
            </w:r>
          </w:p>
          <w:p w:rsidR="00A14AAB" w:rsidRPr="00D9050A" w:rsidRDefault="00A14AAB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Maletzke,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G.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(1996):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Interkulturelle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Zur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Interaktion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zwischen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Menschen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unterschiedlicher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Kulturen.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Opladen: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Westdeutscher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Verlag</w:t>
            </w:r>
          </w:p>
          <w:p w:rsidR="002A0782" w:rsidRPr="00D9050A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Default="002A0782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Petravić,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(2016):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Međukulturalna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kompetencija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nastavi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stranih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jezika.Od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teorijskih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koncepata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E2723">
              <w:rPr>
                <w:rFonts w:ascii="Arial" w:hAnsi="Arial" w:cs="Arial"/>
                <w:color w:val="000000" w:themeColor="text1"/>
                <w:sz w:val="20"/>
                <w:szCs w:val="20"/>
              </w:rPr>
              <w:t>primjene.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E2723">
              <w:rPr>
                <w:rFonts w:ascii="Arial" w:hAnsi="Arial" w:cs="Arial"/>
                <w:color w:val="000000" w:themeColor="text1"/>
                <w:sz w:val="20"/>
                <w:szCs w:val="20"/>
              </w:rPr>
              <w:t>Zagreb: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E2723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Školska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E2723">
              <w:rPr>
                <w:rFonts w:ascii="Arial" w:hAnsi="Arial" w:cs="Arial"/>
                <w:color w:val="000000" w:themeColor="text1"/>
                <w:sz w:val="20"/>
                <w:szCs w:val="20"/>
              </w:rPr>
              <w:t>knjiga.</w:t>
            </w:r>
          </w:p>
          <w:p w:rsidR="009E2723" w:rsidRPr="00D9050A" w:rsidRDefault="009E2723" w:rsidP="002A0782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41C" w:rsidRPr="00D9050A" w:rsidTr="00596BC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96BC6" w:rsidRPr="00D9050A" w:rsidRDefault="00596BC6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6BC6" w:rsidRPr="00D9050A" w:rsidRDefault="00596BC6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2.12.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66E0E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Sonstige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66E0E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Mer</w:t>
            </w:r>
            <w:r w:rsidR="00C26E1D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466E0E"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male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(welche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der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Antragsteller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hinzufügen</w:t>
            </w:r>
            <w:r w:rsidR="00E012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9050A">
              <w:rPr>
                <w:rFonts w:ascii="Arial" w:hAnsi="Arial" w:cs="Arial"/>
                <w:color w:val="000000" w:themeColor="text1"/>
                <w:sz w:val="20"/>
                <w:szCs w:val="20"/>
              </w:rPr>
              <w:t>möchte)</w:t>
            </w:r>
          </w:p>
          <w:p w:rsidR="00596BC6" w:rsidRPr="00D9050A" w:rsidRDefault="00596BC6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C6" w:rsidRPr="00D9050A" w:rsidRDefault="00596BC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27BC1" w:rsidRPr="00D9050A" w:rsidRDefault="00827BC1">
      <w:pPr>
        <w:tabs>
          <w:tab w:val="left" w:pos="1916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27BC1" w:rsidRPr="00D9050A" w:rsidRDefault="00827BC1">
      <w:pPr>
        <w:rPr>
          <w:rFonts w:ascii="Arial" w:hAnsi="Arial" w:cs="Arial"/>
          <w:sz w:val="20"/>
          <w:szCs w:val="20"/>
        </w:rPr>
      </w:pPr>
    </w:p>
    <w:sectPr w:rsidR="00827BC1" w:rsidRPr="00D9050A">
      <w:headerReference w:type="default" r:id="rId8"/>
      <w:pgSz w:w="16838" w:h="11906" w:orient="landscape"/>
      <w:pgMar w:top="777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EB" w:rsidRDefault="000946EB">
      <w:pPr>
        <w:spacing w:after="0" w:line="240" w:lineRule="auto"/>
      </w:pPr>
      <w:r>
        <w:separator/>
      </w:r>
    </w:p>
  </w:endnote>
  <w:endnote w:type="continuationSeparator" w:id="0">
    <w:p w:rsidR="000946EB" w:rsidRDefault="0009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EB" w:rsidRDefault="000946EB">
      <w:pPr>
        <w:spacing w:after="0" w:line="240" w:lineRule="auto"/>
      </w:pPr>
      <w:r>
        <w:separator/>
      </w:r>
    </w:p>
  </w:footnote>
  <w:footnote w:type="continuationSeparator" w:id="0">
    <w:p w:rsidR="000946EB" w:rsidRDefault="0009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96450"/>
      <w:docPartObj>
        <w:docPartGallery w:val="Page Numbers (Top of Page)"/>
        <w:docPartUnique/>
      </w:docPartObj>
    </w:sdtPr>
    <w:sdtEndPr/>
    <w:sdtContent>
      <w:p w:rsidR="00827BC1" w:rsidRPr="00D9050A" w:rsidRDefault="00D9050A" w:rsidP="00D9050A">
        <w:pPr>
          <w:tabs>
            <w:tab w:val="left" w:pos="2820"/>
          </w:tabs>
          <w:spacing w:after="0"/>
          <w:jc w:val="right"/>
          <w:rPr>
            <w:rFonts w:ascii="Arial" w:hAnsi="Arial" w:cs="Arial"/>
            <w:color w:val="000000" w:themeColor="text1"/>
            <w:sz w:val="20"/>
            <w:szCs w:val="20"/>
          </w:rPr>
        </w:pPr>
        <w:r>
          <w:rPr>
            <w:rFonts w:ascii="Arial" w:hAnsi="Arial" w:cs="Arial"/>
            <w:color w:val="000000" w:themeColor="text1"/>
            <w:sz w:val="20"/>
            <w:szCs w:val="20"/>
          </w:rPr>
          <w:t>Die</w:t>
        </w:r>
        <w:r w:rsidR="00E0120E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r>
          <w:rPr>
            <w:rFonts w:ascii="Arial" w:hAnsi="Arial" w:cs="Arial"/>
            <w:color w:val="000000" w:themeColor="text1"/>
            <w:sz w:val="20"/>
            <w:szCs w:val="20"/>
          </w:rPr>
          <w:t>Wahrnehmung</w:t>
        </w:r>
        <w:r w:rsidR="00E0120E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r>
          <w:rPr>
            <w:rFonts w:ascii="Arial" w:hAnsi="Arial" w:cs="Arial"/>
            <w:color w:val="000000" w:themeColor="text1"/>
            <w:sz w:val="20"/>
            <w:szCs w:val="20"/>
          </w:rPr>
          <w:t>des</w:t>
        </w:r>
        <w:r w:rsidR="00E0120E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r>
          <w:rPr>
            <w:rFonts w:ascii="Arial" w:hAnsi="Arial" w:cs="Arial"/>
            <w:color w:val="000000" w:themeColor="text1"/>
            <w:sz w:val="20"/>
            <w:szCs w:val="20"/>
          </w:rPr>
          <w:t>Anderen,</w:t>
        </w:r>
        <w:r w:rsidR="00E0120E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r w:rsidR="000D3B96">
          <w:rPr>
            <w:rFonts w:ascii="Arial" w:hAnsi="Arial" w:cs="Arial"/>
            <w:sz w:val="20"/>
            <w:szCs w:val="20"/>
          </w:rPr>
          <w:fldChar w:fldCharType="begin"/>
        </w:r>
        <w:r w:rsidR="000D3B96">
          <w:rPr>
            <w:rFonts w:ascii="Arial" w:hAnsi="Arial" w:cs="Arial"/>
            <w:sz w:val="20"/>
            <w:szCs w:val="20"/>
          </w:rPr>
          <w:instrText>PAGE</w:instrText>
        </w:r>
        <w:r w:rsidR="000D3B96">
          <w:rPr>
            <w:rFonts w:ascii="Arial" w:hAnsi="Arial" w:cs="Arial"/>
            <w:sz w:val="20"/>
            <w:szCs w:val="20"/>
          </w:rPr>
          <w:fldChar w:fldCharType="separate"/>
        </w:r>
        <w:r w:rsidR="001D31A1">
          <w:rPr>
            <w:rFonts w:ascii="Arial" w:hAnsi="Arial" w:cs="Arial"/>
            <w:noProof/>
            <w:sz w:val="20"/>
            <w:szCs w:val="20"/>
          </w:rPr>
          <w:t>2</w:t>
        </w:r>
        <w:r w:rsidR="000D3B9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27BC1" w:rsidRDefault="0082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539"/>
    <w:multiLevelType w:val="multilevel"/>
    <w:tmpl w:val="5F2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F90305D"/>
    <w:multiLevelType w:val="multilevel"/>
    <w:tmpl w:val="1A686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9B2F9D"/>
    <w:multiLevelType w:val="multilevel"/>
    <w:tmpl w:val="CAEA0D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C1"/>
    <w:rsid w:val="000946EB"/>
    <w:rsid w:val="000D3B96"/>
    <w:rsid w:val="000D7CBF"/>
    <w:rsid w:val="00100C9C"/>
    <w:rsid w:val="001C2E8D"/>
    <w:rsid w:val="001D31A1"/>
    <w:rsid w:val="00202173"/>
    <w:rsid w:val="00214FDC"/>
    <w:rsid w:val="002A0782"/>
    <w:rsid w:val="00376015"/>
    <w:rsid w:val="004501E4"/>
    <w:rsid w:val="00466E0E"/>
    <w:rsid w:val="004D304A"/>
    <w:rsid w:val="00596BC6"/>
    <w:rsid w:val="005C298B"/>
    <w:rsid w:val="00627ED5"/>
    <w:rsid w:val="00677DD5"/>
    <w:rsid w:val="0069141C"/>
    <w:rsid w:val="006E26DC"/>
    <w:rsid w:val="00756281"/>
    <w:rsid w:val="00765545"/>
    <w:rsid w:val="00827BC1"/>
    <w:rsid w:val="00835C71"/>
    <w:rsid w:val="008646CD"/>
    <w:rsid w:val="00871C89"/>
    <w:rsid w:val="009142C7"/>
    <w:rsid w:val="00956CEF"/>
    <w:rsid w:val="009E2723"/>
    <w:rsid w:val="00A14AAB"/>
    <w:rsid w:val="00A605AD"/>
    <w:rsid w:val="00A85D19"/>
    <w:rsid w:val="00AF5773"/>
    <w:rsid w:val="00BB19F5"/>
    <w:rsid w:val="00BE17D8"/>
    <w:rsid w:val="00C016B1"/>
    <w:rsid w:val="00C26E1D"/>
    <w:rsid w:val="00CB374C"/>
    <w:rsid w:val="00CF654B"/>
    <w:rsid w:val="00D24743"/>
    <w:rsid w:val="00D60C26"/>
    <w:rsid w:val="00D765C1"/>
    <w:rsid w:val="00D9050A"/>
    <w:rsid w:val="00E0120E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6785"/>
  <w15:docId w15:val="{CB37C60B-8A41-4D86-B793-A1506A5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FE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qFormat/>
    <w:rsid w:val="002A79FE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7B1F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7B1F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FieldText">
    <w:name w:val="Field Text"/>
    <w:basedOn w:val="Normal"/>
    <w:qFormat/>
    <w:rsid w:val="002A79FE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B7B1F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7B1F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B1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8BB4-3C46-48C2-BE2E-487D405A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Rosan</dc:creator>
  <cp:lastModifiedBy>Windows User</cp:lastModifiedBy>
  <cp:revision>9</cp:revision>
  <dcterms:created xsi:type="dcterms:W3CDTF">2020-05-07T15:30:00Z</dcterms:created>
  <dcterms:modified xsi:type="dcterms:W3CDTF">2020-06-19T23:01:00Z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